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V2.5.0的迭代功能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1.立体车库的引导及反向寻车；</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2.设备支持超声波和红外；</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3.对绑定和未绑定车位的引导屏进行区分；</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4.增加车位可批量填充车位号；</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5.查询机、电梯等编号可修改；</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6.全屏监控中可选择是否显示离线设备；</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7.区域多边形终点吸附到起点的磁力功能；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8.云端地图导入本地时点击“增量更新”按钮可执行初始化操作；</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9.增加屏与区域的绑定关系的删除按钮；</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10.数据自动备份功能；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11.自动清理和强制清理机制；</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12.剩余车位自动校正和人工干预功能；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13.云端地图支持导入，本地地图支持导出功能；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14.寻车H5页面显示楼层区域、增加文字提示</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15.监控模式单击显示元素内容。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_Toc159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_Toc159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_Toc21376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_Toc21376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_Toc16529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_Toc16529 </w:instrText>
      </w:r>
      <w:r>
        <w:fldChar w:fldCharType="separate"/>
      </w:r>
      <w:r>
        <w:t>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_Toc16886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_Toc16886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_Toc14062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_Toc14062 </w:instrText>
      </w:r>
      <w:r>
        <w:fldChar w:fldCharType="separate"/>
      </w:r>
      <w:r>
        <w:t>12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_Toc13245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_Toc13245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_Toc5274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_Toc5274 </w:instrText>
      </w:r>
      <w:r>
        <w:fldChar w:fldCharType="separate"/>
      </w:r>
      <w:r>
        <w:t>13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_Toc27866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_Toc27866 </w:instrText>
      </w:r>
      <w:r>
        <w:fldChar w:fldCharType="separate"/>
      </w:r>
      <w:r>
        <w:t>14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_Toc12678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_Toc12678 </w:instrText>
      </w:r>
      <w:r>
        <w:fldChar w:fldCharType="separate"/>
      </w:r>
      <w:r>
        <w:t>15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_Toc366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_Toc366 </w:instrText>
      </w:r>
      <w:r>
        <w:fldChar w:fldCharType="separate"/>
      </w:r>
      <w:r>
        <w:t>17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_Toc25950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_Toc25950 </w:instrText>
      </w:r>
      <w:r>
        <w:fldChar w:fldCharType="separate"/>
      </w:r>
      <w:r>
        <w:t>19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_Toc30272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_Toc30272 </w:instrText>
      </w:r>
      <w:r>
        <w:fldChar w:fldCharType="separate"/>
      </w:r>
      <w:r>
        <w:t>20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_Toc9848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_Toc9848 </w:instrText>
      </w:r>
      <w:r>
        <w:fldChar w:fldCharType="separate"/>
      </w:r>
      <w:r>
        <w:t>23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_Toc25196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_Toc25196 </w:instrText>
      </w:r>
      <w:r>
        <w:fldChar w:fldCharType="separate"/>
      </w:r>
      <w:r>
        <w:t>23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_Toc10536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_Toc10536 </w:instrText>
      </w:r>
      <w:r>
        <w:fldChar w:fldCharType="separate"/>
      </w:r>
      <w:r>
        <w:t>24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_Toc989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_Toc989 </w:instrText>
      </w:r>
      <w:r>
        <w:fldChar w:fldCharType="separate"/>
      </w:r>
      <w:r>
        <w:t>24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_Toc19189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_Toc19189 </w:instrText>
      </w:r>
      <w:r>
        <w:fldChar w:fldCharType="separate"/>
      </w:r>
      <w:r>
        <w:t>26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_Toc1078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_Toc1078 </w:instrText>
      </w:r>
      <w:r>
        <w:fldChar w:fldCharType="separate"/>
      </w:r>
      <w:r>
        <w:t>26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_Toc12358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_Toc12358 </w:instrText>
      </w:r>
      <w:r>
        <w:fldChar w:fldCharType="separate"/>
      </w:r>
      <w:r>
        <w:t>27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_Toc23121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_Toc23121 </w:instrText>
      </w:r>
      <w:r>
        <w:fldChar w:fldCharType="separate"/>
      </w:r>
      <w:r>
        <w:t>28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_Toc28783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_Toc28783 </w:instrText>
      </w:r>
      <w:r>
        <w:fldChar w:fldCharType="separate"/>
      </w:r>
      <w:r>
        <w:t>29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_Toc21640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_Toc21640 </w:instrText>
      </w:r>
      <w:r>
        <w:fldChar w:fldCharType="separate"/>
      </w:r>
      <w:r>
        <w:t>31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_Toc19284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_Toc19284 </w:instrText>
      </w:r>
      <w:r>
        <w:fldChar w:fldCharType="separate"/>
      </w:r>
      <w:r>
        <w:t>61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_Toc31322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_Toc31322 </w:instrText>
      </w:r>
      <w:r>
        <w:fldChar w:fldCharType="separate"/>
      </w:r>
      <w:r>
        <w:t>63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_Toc31995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_Toc31995 </w:instrText>
      </w:r>
      <w:r>
        <w:fldChar w:fldCharType="separate"/>
      </w:r>
      <w:r>
        <w:t>65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_Toc10287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_Toc10287 </w:instrText>
      </w:r>
      <w:r>
        <w:fldChar w:fldCharType="separate"/>
      </w:r>
      <w:r>
        <w:t>71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_Toc9917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_Toc9917 </w:instrText>
      </w:r>
      <w:r>
        <w:fldChar w:fldCharType="separate"/>
      </w:r>
      <w:r>
        <w:t>75</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_Toc7751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_Toc7751 </w:instrText>
      </w:r>
      <w:r>
        <w:fldChar w:fldCharType="separate"/>
      </w:r>
      <w:r>
        <w:t>77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_Toc17146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_Toc17146 </w:instrText>
      </w:r>
      <w:r>
        <w:fldChar w:fldCharType="separate"/>
      </w:r>
      <w:r>
        <w:t>77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_Toc17435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_Toc17435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_Toc32638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_Toc32638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_Toc11184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_Toc11184 </w:instrText>
      </w:r>
      <w:r>
        <w:fldChar w:fldCharType="separate"/>
      </w:r>
      <w:r>
        <w:t>81</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_Toc31736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_Toc31736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_Toc31926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_Toc31926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_Toc5421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_Toc5421 </w:instrText>
      </w:r>
      <w:r>
        <w:fldChar w:fldCharType="separate"/>
      </w:r>
      <w:r>
        <w:t>83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_Toc28005 </w:instrText>
      </w:r>
      <w:r>
        <w:rPr>
          <w:rFonts w:hint="eastAsia"/>
          <w:lang w:eastAsia="zh-CN"/>
        </w:rPr>
        <w:fldChar w:fldCharType="separate"/>
      </w:r>
      <w:r>
        <w:rPr>
          <w:rFonts w:hint="eastAsia" w:ascii="Arial" w:hAnsi="Arial" w:eastAsia="微软雅黑" w:cstheme="minorBidi"/>
          <w:bCs/>
          <w:kern w:val="2"/>
          <w:szCs w:val="36"/>
          <w:lang w:val="en-US" w:eastAsia="zh-CN" w:bidi="ar-SA"/>
        </w:rPr>
        <w:t>八、 微信寻车H5页面</w:t>
      </w:r>
      <w:r>
        <w:tab/>
      </w:r>
      <w:r>
        <w:fldChar w:fldCharType="begin"/>
      </w:r>
      <w:r>
        <w:instrText xml:space="preserve"> PAGEREF _Toc28005 </w:instrText>
      </w:r>
      <w:r>
        <w:fldChar w:fldCharType="separate"/>
      </w:r>
      <w:r>
        <w:t>87</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7059"/>
      <w:bookmarkStart w:id="1" w:name="_Toc159"/>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21376"/>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：用户可在在场车辆模块中设置统计区域的剩余车位数，或根据实际情况调整实际剩余车位数。</w:t>
      </w:r>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以车位数据为准</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此项设定，将默认按车位的占用/空闲数据来统计剩余车位；</w:t>
      </w:r>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X小时内在场车辆统计数量</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此项设定，将默认按X小时的在场剩余来统计剩余车位；如设为24小时，将统计当前时间往前24小时的剩余车位</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3745" cy="3635375"/>
            <wp:effectExtent l="0" t="0" r="8255" b="9525"/>
            <wp:docPr id="69" name="图片 69" descr="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在场车辆-设置剩余车位"/>
                    <pic:cNvPicPr>
                      <a:picLocks noChangeAspect="1"/>
                    </pic:cNvPicPr>
                  </pic:nvPicPr>
                  <pic:blipFill>
                    <a:blip r:embed="rId8"/>
                    <a:stretch>
                      <a:fillRect/>
                    </a:stretch>
                  </pic:blipFill>
                  <pic:spPr>
                    <a:xfrm>
                      <a:off x="0" y="0"/>
                      <a:ext cx="4563745" cy="36353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自动调整剩余车位</w:t>
      </w:r>
      <w:r>
        <w:rPr>
          <w:rFonts w:hint="eastAsia" w:ascii="微软雅黑" w:hAnsi="微软雅黑" w:eastAsia="微软雅黑" w:cs="微软雅黑"/>
          <w:b w:val="0"/>
          <w:bCs/>
          <w:kern w:val="2"/>
          <w:sz w:val="24"/>
          <w:szCs w:val="24"/>
          <w:lang w:val="en-US" w:eastAsia="zh-CN" w:bidi="ar-SA"/>
        </w:rPr>
        <w:t>：用户可以根据经验设置自动调整剩余车位。例如根据经验某车场每天中午的剩余车位都为0，那么可以设置剩余车位数为0，自动调整时刻为12:00，每天重复，那么每天中午12点都会将剩余车位校正为0。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86555" cy="2379345"/>
            <wp:effectExtent l="0" t="0" r="4445" b="8255"/>
            <wp:docPr id="108" name="图片 108" descr="在场车辆-设置剩余车位-自动调整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在场车辆-设置剩余车位-自动调整剩余车位"/>
                    <pic:cNvPicPr>
                      <a:picLocks noChangeAspect="1"/>
                    </pic:cNvPicPr>
                  </pic:nvPicPr>
                  <pic:blipFill>
                    <a:blip r:embed="rId9"/>
                    <a:stretch>
                      <a:fillRect/>
                    </a:stretch>
                  </pic:blipFill>
                  <pic:spPr>
                    <a:xfrm>
                      <a:off x="0" y="0"/>
                      <a:ext cx="4186555" cy="23793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4" w:name="_Toc16529"/>
      <w:r>
        <w:rPr>
          <w:rFonts w:hint="eastAsia" w:ascii="黑体" w:hAnsi="黑体" w:eastAsia="黑体" w:cs="黑体"/>
          <w:sz w:val="36"/>
          <w:szCs w:val="36"/>
          <w:lang w:val="en-US" w:eastAsia="zh-CN"/>
        </w:rPr>
        <w:t>历史记录</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16886"/>
      <w:r>
        <w:rPr>
          <w:rFonts w:hint="eastAsia" w:ascii="黑体" w:hAnsi="黑体" w:eastAsia="黑体" w:cs="黑体"/>
          <w:sz w:val="36"/>
          <w:szCs w:val="36"/>
          <w:lang w:val="en-US" w:eastAsia="zh-CN"/>
        </w:rPr>
        <w:t>异常在场</w:t>
      </w:r>
      <w:bookmarkEnd w:id="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14062"/>
      <w:r>
        <w:rPr>
          <w:rFonts w:hint="eastAsia" w:ascii="黑体" w:hAnsi="黑体" w:eastAsia="黑体" w:cs="黑体"/>
          <w:sz w:val="36"/>
          <w:szCs w:val="36"/>
          <w:lang w:val="en-US" w:eastAsia="zh-CN"/>
        </w:rPr>
        <w:t>异常出场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13245"/>
      <w:r>
        <w:rPr>
          <w:rFonts w:hint="eastAsia" w:ascii="黑体" w:hAnsi="黑体" w:eastAsia="黑体" w:cs="黑体"/>
          <w:sz w:val="36"/>
          <w:szCs w:val="36"/>
          <w:lang w:val="en-US" w:eastAsia="zh-CN"/>
        </w:rPr>
        <w:t>车位上报流水</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5274"/>
      <w:r>
        <w:rPr>
          <w:rFonts w:hint="eastAsia" w:ascii="黑体" w:hAnsi="黑体" w:eastAsia="黑体" w:cs="黑体"/>
          <w:sz w:val="36"/>
          <w:szCs w:val="36"/>
          <w:lang w:val="en-US" w:eastAsia="zh-CN"/>
        </w:rPr>
        <w:t>区域上报流水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9" w:name="_Toc27866"/>
      <w:r>
        <w:rPr>
          <w:rFonts w:hint="eastAsia" w:ascii="Arial" w:hAnsi="Arial" w:eastAsia="微软雅黑" w:cstheme="minorBidi"/>
          <w:b w:val="0"/>
          <w:bCs/>
          <w:kern w:val="2"/>
          <w:sz w:val="36"/>
          <w:szCs w:val="36"/>
          <w:lang w:val="en-US" w:eastAsia="zh-CN" w:bidi="ar-SA"/>
        </w:rPr>
        <w:t>系统管理</w:t>
      </w:r>
      <w:bookmarkEnd w:id="9"/>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0" w:name="_Toc12678"/>
      <w:r>
        <w:rPr>
          <w:rFonts w:hint="eastAsia" w:ascii="黑体" w:hAnsi="黑体" w:eastAsia="黑体" w:cs="黑体"/>
          <w:sz w:val="36"/>
          <w:szCs w:val="36"/>
          <w:lang w:val="en-US" w:eastAsia="zh-CN"/>
        </w:rPr>
        <w:t>1.角色管理</w:t>
      </w:r>
      <w:bookmarkEnd w:id="1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8"/>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19"/>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20"/>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1"/>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2"/>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3"/>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366"/>
      <w:r>
        <w:rPr>
          <w:rFonts w:hint="eastAsia" w:ascii="黑体" w:hAnsi="黑体" w:eastAsia="黑体" w:cs="黑体"/>
          <w:sz w:val="36"/>
          <w:szCs w:val="36"/>
          <w:lang w:val="en-US" w:eastAsia="zh-CN"/>
        </w:rPr>
        <w:t>2.用户管理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5"/>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6"/>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7"/>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8"/>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25950"/>
      <w:r>
        <w:rPr>
          <w:rFonts w:hint="eastAsia" w:ascii="黑体" w:hAnsi="黑体" w:eastAsia="黑体" w:cs="黑体"/>
          <w:sz w:val="36"/>
          <w:szCs w:val="36"/>
          <w:lang w:val="en-US" w:eastAsia="zh-CN"/>
        </w:rPr>
        <w:t>3.显示及语音</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30"/>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30272"/>
      <w:r>
        <w:rPr>
          <w:rFonts w:hint="eastAsia" w:ascii="黑体" w:hAnsi="黑体" w:eastAsia="黑体" w:cs="黑体"/>
          <w:sz w:val="36"/>
          <w:szCs w:val="36"/>
          <w:lang w:val="en-US" w:eastAsia="zh-CN"/>
        </w:rPr>
        <w:t>4.地图配置</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9848"/>
      <w:r>
        <w:rPr>
          <w:rFonts w:hint="eastAsia" w:ascii="黑体" w:hAnsi="黑体" w:eastAsia="黑体" w:cs="黑体"/>
          <w:sz w:val="36"/>
          <w:szCs w:val="36"/>
          <w:lang w:val="en-US" w:eastAsia="zh-CN"/>
        </w:rPr>
        <w:t>5.版本说明</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25196"/>
      <w:r>
        <w:rPr>
          <w:rFonts w:hint="eastAsia" w:ascii="黑体" w:hAnsi="黑体" w:eastAsia="黑体" w:cs="黑体"/>
          <w:sz w:val="36"/>
          <w:szCs w:val="36"/>
          <w:lang w:val="en-US" w:eastAsia="zh-CN"/>
        </w:rPr>
        <w:t>6.系统日志</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 w:name="_Toc10536"/>
      <w:r>
        <w:rPr>
          <w:rFonts w:hint="eastAsia" w:ascii="Arial" w:hAnsi="Arial" w:eastAsia="微软雅黑" w:cstheme="minorBidi"/>
          <w:b w:val="0"/>
          <w:bCs/>
          <w:kern w:val="2"/>
          <w:sz w:val="36"/>
          <w:szCs w:val="36"/>
          <w:lang w:val="en-US" w:eastAsia="zh-CN" w:bidi="ar-SA"/>
        </w:rPr>
        <w:t>中央监控</w:t>
      </w:r>
      <w:bookmarkEnd w:id="16"/>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7" w:name="_Toc989"/>
      <w:r>
        <w:rPr>
          <w:rFonts w:hint="eastAsia" w:ascii="黑体" w:hAnsi="黑体" w:eastAsia="黑体" w:cs="黑体"/>
          <w:sz w:val="36"/>
          <w:szCs w:val="36"/>
          <w:lang w:val="en-US" w:eastAsia="zh-CN"/>
        </w:rPr>
        <w:t>1.告警记录</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39"/>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 w:name="_Toc19189"/>
      <w:r>
        <w:rPr>
          <w:rFonts w:hint="eastAsia" w:ascii="Arial" w:hAnsi="Arial" w:eastAsia="微软雅黑" w:cstheme="minorBidi"/>
          <w:b w:val="0"/>
          <w:bCs/>
          <w:kern w:val="2"/>
          <w:sz w:val="36"/>
          <w:szCs w:val="36"/>
          <w:lang w:val="en-US" w:eastAsia="zh-CN" w:bidi="ar-SA"/>
        </w:rPr>
        <w:t>报表管理</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9" w:name="_Toc1078"/>
      <w:r>
        <w:rPr>
          <w:rFonts w:hint="eastAsia" w:ascii="黑体" w:hAnsi="黑体" w:eastAsia="黑体" w:cs="黑体"/>
          <w:sz w:val="36"/>
          <w:szCs w:val="36"/>
          <w:lang w:val="en-US" w:eastAsia="zh-CN"/>
        </w:rPr>
        <w:t>1.进出报表</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12358"/>
      <w:r>
        <w:rPr>
          <w:rFonts w:hint="eastAsia" w:ascii="黑体" w:hAnsi="黑体" w:eastAsia="黑体" w:cs="黑体"/>
          <w:sz w:val="36"/>
          <w:szCs w:val="36"/>
          <w:lang w:val="en-US" w:eastAsia="zh-CN"/>
        </w:rPr>
        <w:t>2.查询机报表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 w:name="_Toc23121"/>
      <w:r>
        <w:rPr>
          <w:rFonts w:hint="eastAsia" w:ascii="Arial" w:hAnsi="Arial" w:eastAsia="微软雅黑" w:cstheme="minorBidi"/>
          <w:b w:val="0"/>
          <w:bCs/>
          <w:kern w:val="2"/>
          <w:sz w:val="36"/>
          <w:szCs w:val="36"/>
          <w:lang w:val="en-US" w:eastAsia="zh-CN" w:bidi="ar-SA"/>
        </w:rPr>
        <w:t>车场管理</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2" w:name="_Toc28783"/>
      <w:r>
        <w:rPr>
          <w:rFonts w:hint="eastAsia" w:ascii="黑体" w:hAnsi="黑体" w:eastAsia="黑体" w:cs="黑体"/>
          <w:sz w:val="36"/>
          <w:szCs w:val="36"/>
          <w:lang w:val="en-US" w:eastAsia="zh-CN"/>
        </w:rPr>
        <w:t>1.基础数据</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9" name="图片 39" descr="基础数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基础数据-编辑"/>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21640"/>
      <w:r>
        <w:rPr>
          <w:rFonts w:hint="eastAsia" w:ascii="黑体" w:hAnsi="黑体" w:eastAsia="黑体" w:cs="黑体"/>
          <w:sz w:val="36"/>
          <w:szCs w:val="36"/>
          <w:lang w:val="en-US" w:eastAsia="zh-CN"/>
        </w:rPr>
        <w:t>2.车场地图</w:t>
      </w:r>
      <w:bookmarkEnd w:id="2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42" name="图片 42" descr="E:\工作夹\AKE\2017\-产品\系统截图\MPGS\车场管理\车场地图.png车场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工作夹\AKE\2017\-产品\系统截图\MPGS\车场管理\车场地图.png车场地图"/>
                    <pic:cNvPicPr>
                      <a:picLocks noChangeAspect="1"/>
                    </pic:cNvPicPr>
                  </pic:nvPicPr>
                  <pic:blipFill>
                    <a:blip r:embed="rId4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1"/>
          <w:szCs w:val="21"/>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090" cy="3477260"/>
            <wp:effectExtent l="0" t="0" r="3810" b="2540"/>
            <wp:docPr id="43" name="图片 43" descr="E:\工作夹\AKE\2017\-产品\系统截图\MPGS\车场管理\车场地图-全屏.png车场地图-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工作夹\AKE\2017\-产品\系统截图\MPGS\车场管理\车场地图-全屏.png车场地图-全屏"/>
                    <pic:cNvPicPr>
                      <a:picLocks noChangeAspect="1"/>
                    </pic:cNvPicPr>
                  </pic:nvPicPr>
                  <pic:blipFill>
                    <a:blip r:embed="rId48"/>
                    <a:srcRect/>
                    <a:stretch>
                      <a:fillRect/>
                    </a:stretch>
                  </pic:blipFill>
                  <pic:spPr>
                    <a:xfrm>
                      <a:off x="0" y="0"/>
                      <a:ext cx="6181090" cy="347726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br w:type="textWrapp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单击元素，可查看元素的实时数据，如点击区域，可查看区域的实时数据。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4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2"/>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新建好停车场项目地图后，点击地图名称可进入地图编辑器进行车位区域绘制，点击“导出”按钮，可导出本地地图数据包。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5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5" DrawAspect="Icon" ObjectID="_1468075725" r:id="rId54">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57" o:title=""/>
            <o:lock v:ext="edit" aspectratio="t"/>
            <w10:wrap type="none"/>
            <w10:anchorlock/>
          </v:shape>
          <o:OLEObject Type="Embed" ProgID="Word.Document.12" ShapeID="_x0000_i1026" DrawAspect="Icon" ObjectID="_1468075726" r:id="rId56">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5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5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60"/>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61"/>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6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绘制完背景后，需要在各关键路口放置路径图标和路径点</w:t>
      </w:r>
      <w:r>
        <w:rPr>
          <w:rFonts w:hint="eastAsia" w:ascii="微软雅黑" w:hAnsi="微软雅黑" w:eastAsia="微软雅黑" w:cs="微软雅黑"/>
          <w:b/>
          <w:bCs w:val="0"/>
          <w:kern w:val="2"/>
          <w:sz w:val="24"/>
          <w:szCs w:val="24"/>
          <w:lang w:val="en-US" w:eastAsia="zh-CN" w:bidi="ar-SA"/>
        </w:rPr>
        <w:t>，路径图标</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6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除了放置路径点，还要根据停车场实际位置放置包括查询机、电梯等路径图标，查询机往往会作为反向寻车的起点。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67"/>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完成路径点和路径图标的放置后，还需要需要在各路径点间建立联系。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ind w:left="0" w:leftChars="0" w:firstLine="0" w:firstLineChars="0"/>
        <w:jc w:val="center"/>
      </w:pPr>
      <w:r>
        <w:drawing>
          <wp:inline distT="0" distB="0" distL="114300" distR="114300">
            <wp:extent cx="6181725" cy="2849245"/>
            <wp:effectExtent l="0" t="0" r="3175" b="825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70"/>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绘制区域：拖动绘制工具到画布，选择区域类型和区域颜色，确定后便绘制区域成功。</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3" name="图片 113" descr="区域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区域配置"/>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绘制车位：拖动车位元素到画布，可填写需要添加车位元素的数量。</w:t>
      </w:r>
    </w:p>
    <w:p>
      <w:pPr>
        <w:ind w:left="0" w:leftChars="0" w:firstLine="0" w:firstLineChars="0"/>
        <w:jc w:val="center"/>
      </w:pPr>
      <w:r>
        <w:drawing>
          <wp:inline distT="0" distB="0" distL="114300" distR="114300">
            <wp:extent cx="6181725" cy="2849245"/>
            <wp:effectExtent l="0" t="0" r="3175" b="825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7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点击添加关联元素，可以添加车位的关联元素，如视频探测器、地磁探测器、红外探测器、超声波探测器和视频车位灯等。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74"/>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7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both"/>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76"/>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视频管理器可以直接绑定车位，每个视频管理器可绑定三个车位。视频管理器在绑定车位前必须填写其MAC地址。</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77"/>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7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bookmarkStart w:id="38" w:name="_GoBack"/>
      <w:bookmarkEnd w:id="38"/>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除了车位探测器等设备外，还要添加引导寻车的引导屏，点击“绑定区域”，并根据引导屏的实际位置和显示方向绑定区域。</w:t>
      </w:r>
    </w:p>
    <w:p>
      <w:pPr>
        <w:ind w:left="0" w:leftChars="0" w:firstLine="0" w:firstLineChars="0"/>
      </w:pPr>
      <w:r>
        <w:drawing>
          <wp:inline distT="0" distB="0" distL="114300" distR="114300">
            <wp:extent cx="6181725" cy="2849245"/>
            <wp:effectExtent l="0" t="0" r="3175" b="8255"/>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8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pPr>
    </w:p>
    <w:p>
      <w:pPr>
        <w:rPr>
          <w:rFonts w:hint="eastAsia"/>
          <w:lang w:val="en-US" w:eastAsia="zh-CN"/>
        </w:rPr>
      </w:pPr>
      <w:r>
        <w:rPr>
          <w:rFonts w:hint="eastAsia" w:ascii="微软雅黑" w:hAnsi="微软雅黑" w:eastAsia="微软雅黑" w:cs="微软雅黑"/>
          <w:b w:val="0"/>
          <w:bCs/>
          <w:kern w:val="2"/>
          <w:sz w:val="24"/>
          <w:szCs w:val="24"/>
          <w:lang w:val="en-US" w:eastAsia="zh-CN" w:bidi="ar-SA"/>
        </w:rPr>
        <w:t>已绑定的区域将会以高亮形式显示出来，点击已绑定的区域或者点击“×”可解除引导屏和区域的绑定关系。绑定完成后点击“结束绑定区域”并“保存”可保存数据。</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82"/>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绑定区域的引导屏的元素编号为红色底色，与未绑定区域的引导屏的元素编号的透明底色作区分。</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pic:cNvPicPr>
                      <a:picLocks noChangeAspect="1"/>
                    </pic:cNvPicPr>
                  </pic:nvPicPr>
                  <pic:blipFill>
                    <a:blip r:embed="rId8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8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8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8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8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9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91"/>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92"/>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9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内容制作完成，关系建立后，可选择“增量更新地图数据”，确定操作后即完成地图绘制及数据的增量更新。云端地图导入本地时，也可点击“增量更新地图数据”按钮执行初始化操作。</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5" name="图片 145" descr="增量更新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增量更新地图数据"/>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点击“初始化上传数据”按钮并确认操作后，后台数据都会全部初始化。主要用于云端地图第一次导入到本地时需进行初始化数据操作。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此功能应谨慎使用，因为原来有车的车位可能会全部初始化成无车的状态，有可能造成引导及反向寻车数据不准确。</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95"/>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9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97"/>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98"/>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99"/>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100"/>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101"/>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102"/>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10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10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19284"/>
      <w:r>
        <w:rPr>
          <w:rFonts w:hint="eastAsia" w:ascii="黑体" w:hAnsi="黑体" w:eastAsia="黑体" w:cs="黑体"/>
          <w:sz w:val="36"/>
          <w:szCs w:val="36"/>
          <w:lang w:val="en-US" w:eastAsia="zh-CN"/>
        </w:rPr>
        <w:t>3.车位管理</w:t>
      </w:r>
      <w:bookmarkEnd w:id="2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10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107"/>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108"/>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09"/>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5" w:name="_Toc31322"/>
      <w:r>
        <w:rPr>
          <w:rFonts w:hint="eastAsia" w:ascii="黑体" w:hAnsi="黑体" w:eastAsia="黑体" w:cs="黑体"/>
          <w:sz w:val="36"/>
          <w:szCs w:val="36"/>
          <w:lang w:val="en-US" w:eastAsia="zh-CN"/>
        </w:rPr>
        <w:t>4.区域管理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区域管理模块记录了地图编辑时上传的区域数据，包括区域编号、区域类型、区域名称、区域车位总数和操作等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5" name="图片 55" descr="区域管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区域管理2"/>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包括引导区域、统计区域、车库区域），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11"/>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12"/>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31995"/>
      <w:r>
        <w:rPr>
          <w:rFonts w:hint="eastAsia" w:ascii="黑体" w:hAnsi="黑体" w:eastAsia="黑体" w:cs="黑体"/>
          <w:sz w:val="36"/>
          <w:szCs w:val="36"/>
          <w:lang w:val="en-US" w:eastAsia="zh-CN"/>
        </w:rPr>
        <w:t>5.参数配置</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15"/>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ilvl w:val="0"/>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10287"/>
      <w:r>
        <w:rPr>
          <w:rFonts w:hint="eastAsia" w:ascii="黑体" w:hAnsi="黑体" w:eastAsia="黑体" w:cs="黑体"/>
          <w:sz w:val="36"/>
          <w:szCs w:val="36"/>
          <w:lang w:val="en-US" w:eastAsia="zh-CN"/>
        </w:rPr>
        <w:t>6.事件设置</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17"/>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18"/>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20"/>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21"/>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22"/>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23"/>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24"/>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25"/>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9917"/>
      <w:r>
        <w:rPr>
          <w:rFonts w:hint="eastAsia" w:ascii="黑体" w:hAnsi="黑体" w:eastAsia="黑体" w:cs="黑体"/>
          <w:sz w:val="36"/>
          <w:szCs w:val="36"/>
          <w:lang w:val="en-US" w:eastAsia="zh-CN"/>
        </w:rPr>
        <w:t>7.VIP车辆</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27"/>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28"/>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9" w:name="_Toc7751"/>
      <w:r>
        <w:rPr>
          <w:rFonts w:hint="eastAsia" w:ascii="Arial" w:hAnsi="Arial" w:eastAsia="微软雅黑" w:cstheme="minorBidi"/>
          <w:b w:val="0"/>
          <w:bCs/>
          <w:kern w:val="2"/>
          <w:sz w:val="36"/>
          <w:szCs w:val="36"/>
          <w:lang w:val="en-US" w:eastAsia="zh-CN" w:bidi="ar-SA"/>
        </w:rPr>
        <w:t>设备管理</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17146"/>
      <w:r>
        <w:rPr>
          <w:rFonts w:hint="eastAsia" w:ascii="黑体" w:hAnsi="黑体" w:eastAsia="黑体" w:cs="黑体"/>
          <w:sz w:val="36"/>
          <w:szCs w:val="36"/>
          <w:lang w:val="en-US" w:eastAsia="zh-CN"/>
        </w:rPr>
        <w:t>1.检测设备</w:t>
      </w:r>
      <w:bookmarkEnd w:id="30"/>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30"/>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1" w:name="_Toc17435"/>
      <w:r>
        <w:rPr>
          <w:rFonts w:hint="eastAsia" w:ascii="黑体" w:hAnsi="黑体" w:eastAsia="黑体" w:cs="黑体"/>
          <w:sz w:val="36"/>
          <w:szCs w:val="36"/>
          <w:lang w:val="en-US" w:eastAsia="zh-CN"/>
        </w:rPr>
        <w:t>2.指示灯</w:t>
      </w:r>
      <w:bookmarkEnd w:id="31"/>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32638"/>
      <w:r>
        <w:rPr>
          <w:rFonts w:hint="eastAsia" w:ascii="黑体" w:hAnsi="黑体" w:eastAsia="黑体" w:cs="黑体"/>
          <w:sz w:val="36"/>
          <w:szCs w:val="36"/>
          <w:lang w:val="en-US" w:eastAsia="zh-CN"/>
        </w:rPr>
        <w:t>3.屏管理</w:t>
      </w:r>
      <w:bookmarkEnd w:id="32"/>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33"/>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34"/>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35"/>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36"/>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11184"/>
      <w:r>
        <w:rPr>
          <w:rFonts w:hint="eastAsia" w:ascii="黑体" w:hAnsi="黑体" w:eastAsia="黑体" w:cs="黑体"/>
          <w:sz w:val="36"/>
          <w:szCs w:val="36"/>
          <w:lang w:val="en-US" w:eastAsia="zh-CN"/>
        </w:rPr>
        <w:t>4.控制器</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37"/>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8"/>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4" w:name="_Toc31736"/>
      <w:r>
        <w:rPr>
          <w:rFonts w:hint="eastAsia" w:ascii="Arial" w:hAnsi="Arial" w:eastAsia="微软雅黑" w:cstheme="minorBidi"/>
          <w:b w:val="0"/>
          <w:bCs/>
          <w:kern w:val="2"/>
          <w:sz w:val="36"/>
          <w:szCs w:val="36"/>
          <w:lang w:val="en-US" w:eastAsia="zh-CN" w:bidi="ar-SA"/>
        </w:rPr>
        <w:t>后台管理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31926"/>
      <w:r>
        <w:rPr>
          <w:rFonts w:hint="eastAsia" w:ascii="黑体" w:hAnsi="黑体" w:eastAsia="黑体" w:cs="黑体"/>
          <w:sz w:val="36"/>
          <w:szCs w:val="36"/>
          <w:lang w:val="en-US" w:eastAsia="zh-CN"/>
        </w:rPr>
        <w:t>1.中间件</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6" w:name="_Toc5421"/>
      <w:r>
        <w:rPr>
          <w:rFonts w:hint="eastAsia" w:ascii="黑体" w:hAnsi="黑体" w:eastAsia="黑体" w:cs="黑体"/>
          <w:sz w:val="36"/>
          <w:szCs w:val="36"/>
          <w:lang w:val="en-US" w:eastAsia="zh-CN"/>
        </w:rPr>
        <w:t>2.查询机</w:t>
      </w:r>
      <w:bookmarkEnd w:id="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41"/>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4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7" w:name="_Toc28005"/>
      <w:r>
        <w:rPr>
          <w:rFonts w:hint="eastAsia" w:ascii="Arial" w:hAnsi="Arial" w:eastAsia="微软雅黑" w:cstheme="minorBidi"/>
          <w:b w:val="0"/>
          <w:bCs/>
          <w:kern w:val="2"/>
          <w:sz w:val="36"/>
          <w:szCs w:val="36"/>
          <w:lang w:val="en-US" w:eastAsia="zh-CN" w:bidi="ar-SA"/>
        </w:rPr>
        <w:t>微信寻车H5页面</w:t>
      </w:r>
      <w:bookmarkEnd w:id="37"/>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手机版微信寻车H5页面实际就是查询机的手机版本，包含了查询机具备的静态寻车功能和查询机不具备的动态寻车功能（需停车场支持蓝牙）。</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微信寻车H5支持车牌查询、无牌车查询、时间查询和车位查询等四种查询方式。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车牌查询：输入3-6位车牌号进行搜索，如车牌号为粤A12345，可输入135或345等进行查询。</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时间查询：选择停车的时段，如在10点至11点之间停的车，则选择10。</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车位查询：请输入停车的车位编号，如0212，输入021或212。</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635885"/>
            <wp:effectExtent l="0" t="0" r="0" b="5715"/>
            <wp:docPr id="54" name="图片 54" descr="四种查询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四种查询方式"/>
                    <pic:cNvPicPr>
                      <a:picLocks noChangeAspect="1"/>
                    </pic:cNvPicPr>
                  </pic:nvPicPr>
                  <pic:blipFill>
                    <a:blip r:embed="rId148"/>
                    <a:stretch>
                      <a:fillRect/>
                    </a:stretch>
                  </pic:blipFill>
                  <pic:spPr>
                    <a:xfrm>
                      <a:off x="0" y="0"/>
                      <a:ext cx="6184900" cy="26358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用户通过车牌号码/停入时间/车位编号查询到符合条件的车辆，确定车辆后，点击“寻车”按钮。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系统会检测该停车场是否支持蓝牙，若检测到停车场不支持蓝牙，则直接进入到手动输入位置页面；若检测到停车场支持蓝牙，系统会再检测用户是否开启蓝牙，若检测到用户未开启蓝牙，则会提示用户开启蓝牙，通过蓝牙信号定位当前位置。点击“已开启蓝牙”系统会再搜寻一次蓝牙信号；点击“未开启蓝牙，手动输入位置”则进入到手动输入位置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输入当前起点附近的车位号，确认后将生成用户所在起点至车辆所在终点的静态寻车路线图。用户可根据静态寻车路线图寻找车辆。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4580" cy="3535045"/>
            <wp:effectExtent l="0" t="0" r="7620" b="8255"/>
            <wp:docPr id="109" name="图片 109" descr="蓝牙提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蓝牙提醒2"/>
                    <pic:cNvPicPr>
                      <a:picLocks noChangeAspect="1"/>
                    </pic:cNvPicPr>
                  </pic:nvPicPr>
                  <pic:blipFill>
                    <a:blip r:embed="rId149"/>
                    <a:stretch>
                      <a:fillRect/>
                    </a:stretch>
                  </pic:blipFill>
                  <pic:spPr>
                    <a:xfrm>
                      <a:off x="0" y="0"/>
                      <a:ext cx="6164580" cy="35350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若停车场开启了跨层寻车，当用户当前位置和车辆所在位置不在同一层时，系统将会生成起点至电梯的路线和车辆所在楼层电梯至车辆所在位置的路线。</w:t>
      </w:r>
    </w:p>
    <w:p>
      <w:pPr>
        <w:widowControl w:val="0"/>
        <w:numPr>
          <w:ilvl w:val="0"/>
          <w:numId w:val="0"/>
        </w:numPr>
        <w:spacing w:line="360" w:lineRule="auto"/>
        <w:jc w:val="center"/>
      </w:pPr>
      <w:r>
        <w:drawing>
          <wp:inline distT="0" distB="0" distL="114300" distR="114300">
            <wp:extent cx="6181725" cy="2849245"/>
            <wp:effectExtent l="0" t="0" r="3175" b="825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50"/>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和车辆所在楼层电梯至车辆所在位置的两层路线图，“起”代表起点，即用户所在位置，“经”代表经过电梯可进入到车辆所在位置的楼层，“终”代表终点，即车辆停放位置。</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1925" cy="4803775"/>
            <wp:effectExtent l="0" t="0" r="3175" b="9525"/>
            <wp:docPr id="111" name="图片 111" descr="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跨层引导"/>
                    <pic:cNvPicPr>
                      <a:picLocks noChangeAspect="1"/>
                    </pic:cNvPicPr>
                  </pic:nvPicPr>
                  <pic:blipFill>
                    <a:blip r:embed="rId151"/>
                    <a:stretch>
                      <a:fillRect/>
                    </a:stretch>
                  </pic:blipFill>
                  <pic:spPr>
                    <a:xfrm>
                      <a:off x="0" y="0"/>
                      <a:ext cx="2701925" cy="4803775"/>
                    </a:xfrm>
                    <a:prstGeom prst="rect">
                      <a:avLst/>
                    </a:prstGeom>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224260E1"/>
    <w:multiLevelType w:val="singleLevel"/>
    <w:tmpl w:val="224260E1"/>
    <w:lvl w:ilvl="0" w:tentative="0">
      <w:start w:val="1"/>
      <w:numFmt w:val="decimal"/>
      <w:suff w:val="nothing"/>
      <w:lvlText w:val="（%1）"/>
      <w:lvlJc w:val="left"/>
    </w:lvl>
  </w:abstractNum>
  <w:abstractNum w:abstractNumId="5">
    <w:nsid w:val="23477B91"/>
    <w:multiLevelType w:val="singleLevel"/>
    <w:tmpl w:val="23477B91"/>
    <w:lvl w:ilvl="0" w:tentative="0">
      <w:start w:val="1"/>
      <w:numFmt w:val="decimal"/>
      <w:suff w:val="nothing"/>
      <w:lvlText w:val="（%1）"/>
      <w:lvlJc w:val="left"/>
    </w:lvl>
  </w:abstractNum>
  <w:abstractNum w:abstractNumId="6">
    <w:nsid w:val="2C4317EB"/>
    <w:multiLevelType w:val="singleLevel"/>
    <w:tmpl w:val="2C4317EB"/>
    <w:lvl w:ilvl="0" w:tentative="0">
      <w:start w:val="2"/>
      <w:numFmt w:val="decimal"/>
      <w:suff w:val="nothing"/>
      <w:lvlText w:val="（%1）"/>
      <w:lvlJc w:val="left"/>
    </w:lvl>
  </w:abstractNum>
  <w:abstractNum w:abstractNumId="7">
    <w:nsid w:val="2D1EE9F8"/>
    <w:multiLevelType w:val="singleLevel"/>
    <w:tmpl w:val="2D1EE9F8"/>
    <w:lvl w:ilvl="0" w:tentative="0">
      <w:start w:val="1"/>
      <w:numFmt w:val="decimal"/>
      <w:suff w:val="nothing"/>
      <w:lvlText w:val="（%1）"/>
      <w:lvlJc w:val="left"/>
    </w:lvl>
  </w:abstractNum>
  <w:abstractNum w:abstractNumId="8">
    <w:nsid w:val="2DF1A836"/>
    <w:multiLevelType w:val="singleLevel"/>
    <w:tmpl w:val="2DF1A836"/>
    <w:lvl w:ilvl="0" w:tentative="0">
      <w:start w:val="1"/>
      <w:numFmt w:val="decimal"/>
      <w:suff w:val="nothing"/>
      <w:lvlText w:val="（%1）"/>
      <w:lvlJc w:val="left"/>
    </w:lvl>
  </w:abstractNum>
  <w:abstractNum w:abstractNumId="9">
    <w:nsid w:val="388DB280"/>
    <w:multiLevelType w:val="singleLevel"/>
    <w:tmpl w:val="388DB280"/>
    <w:lvl w:ilvl="0" w:tentative="0">
      <w:start w:val="1"/>
      <w:numFmt w:val="decimal"/>
      <w:suff w:val="nothing"/>
      <w:lvlText w:val="（%1）"/>
      <w:lvlJc w:val="left"/>
    </w:lvl>
  </w:abstractNum>
  <w:abstractNum w:abstractNumId="10">
    <w:nsid w:val="5938EC15"/>
    <w:multiLevelType w:val="singleLevel"/>
    <w:tmpl w:val="5938EC15"/>
    <w:lvl w:ilvl="0" w:tentative="0">
      <w:start w:val="1"/>
      <w:numFmt w:val="chineseCounting"/>
      <w:suff w:val="nothing"/>
      <w:lvlText w:val="%1、"/>
      <w:lvlJc w:val="left"/>
    </w:lvl>
  </w:abstractNum>
  <w:abstractNum w:abstractNumId="11">
    <w:nsid w:val="5938ECB8"/>
    <w:multiLevelType w:val="singleLevel"/>
    <w:tmpl w:val="5938ECB8"/>
    <w:lvl w:ilvl="0" w:tentative="0">
      <w:start w:val="1"/>
      <w:numFmt w:val="decimal"/>
      <w:suff w:val="nothing"/>
      <w:lvlText w:val="%1."/>
      <w:lvlJc w:val="left"/>
    </w:lvl>
  </w:abstractNum>
  <w:abstractNum w:abstractNumId="12">
    <w:nsid w:val="5A27DC22"/>
    <w:multiLevelType w:val="singleLevel"/>
    <w:tmpl w:val="5A27DC22"/>
    <w:lvl w:ilvl="0" w:tentative="0">
      <w:start w:val="1"/>
      <w:numFmt w:val="decimal"/>
      <w:suff w:val="nothing"/>
      <w:lvlText w:val="%1、"/>
      <w:lvlJc w:val="left"/>
    </w:lvl>
  </w:abstractNum>
  <w:abstractNum w:abstractNumId="13">
    <w:nsid w:val="5B4E5FF2"/>
    <w:multiLevelType w:val="singleLevel"/>
    <w:tmpl w:val="5B4E5FF2"/>
    <w:lvl w:ilvl="0" w:tentative="0">
      <w:start w:val="1"/>
      <w:numFmt w:val="decimal"/>
      <w:suff w:val="nothing"/>
      <w:lvlText w:val="（%1）"/>
      <w:lvlJc w:val="left"/>
    </w:lvl>
  </w:abstractNum>
  <w:abstractNum w:abstractNumId="14">
    <w:nsid w:val="5C1CBDC7"/>
    <w:multiLevelType w:val="singleLevel"/>
    <w:tmpl w:val="5C1CBDC7"/>
    <w:lvl w:ilvl="0" w:tentative="0">
      <w:start w:val="1"/>
      <w:numFmt w:val="decimal"/>
      <w:suff w:val="nothing"/>
      <w:lvlText w:val="（%1）"/>
      <w:lvlJc w:val="left"/>
    </w:lvl>
  </w:abstractNum>
  <w:abstractNum w:abstractNumId="15">
    <w:nsid w:val="5EF5AEC3"/>
    <w:multiLevelType w:val="singleLevel"/>
    <w:tmpl w:val="5EF5AEC3"/>
    <w:lvl w:ilvl="0" w:tentative="0">
      <w:start w:val="1"/>
      <w:numFmt w:val="decimal"/>
      <w:suff w:val="nothing"/>
      <w:lvlText w:val="（%1）"/>
      <w:lvlJc w:val="left"/>
    </w:lvl>
  </w:abstractNum>
  <w:abstractNum w:abstractNumId="16">
    <w:nsid w:val="7985E5E4"/>
    <w:multiLevelType w:val="singleLevel"/>
    <w:tmpl w:val="7985E5E4"/>
    <w:lvl w:ilvl="0" w:tentative="0">
      <w:start w:val="1"/>
      <w:numFmt w:val="decimal"/>
      <w:suff w:val="nothing"/>
      <w:lvlText w:val="（%1）"/>
      <w:lvlJc w:val="left"/>
    </w:lvl>
  </w:abstractNum>
  <w:num w:numId="1">
    <w:abstractNumId w:val="10"/>
  </w:num>
  <w:num w:numId="2">
    <w:abstractNumId w:val="11"/>
  </w:num>
  <w:num w:numId="3">
    <w:abstractNumId w:val="12"/>
  </w:num>
  <w:num w:numId="4">
    <w:abstractNumId w:val="13"/>
  </w:num>
  <w:num w:numId="5">
    <w:abstractNumId w:val="3"/>
  </w:num>
  <w:num w:numId="6">
    <w:abstractNumId w:val="14"/>
  </w:num>
  <w:num w:numId="7">
    <w:abstractNumId w:val="5"/>
  </w:num>
  <w:num w:numId="8">
    <w:abstractNumId w:val="7"/>
  </w:num>
  <w:num w:numId="9">
    <w:abstractNumId w:val="4"/>
  </w:num>
  <w:num w:numId="10">
    <w:abstractNumId w:val="6"/>
  </w:num>
  <w:num w:numId="11">
    <w:abstractNumId w:val="9"/>
  </w:num>
  <w:num w:numId="12">
    <w:abstractNumId w:val="2"/>
  </w:num>
  <w:num w:numId="13">
    <w:abstractNumId w:val="1"/>
  </w:num>
  <w:num w:numId="14">
    <w:abstractNumId w:val="0"/>
  </w:num>
  <w:num w:numId="15">
    <w:abstractNumId w:val="15"/>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08669CD"/>
    <w:rsid w:val="01447ED1"/>
    <w:rsid w:val="014A5AAE"/>
    <w:rsid w:val="01D6727F"/>
    <w:rsid w:val="02006257"/>
    <w:rsid w:val="021224F9"/>
    <w:rsid w:val="02C21A12"/>
    <w:rsid w:val="03140918"/>
    <w:rsid w:val="035C7653"/>
    <w:rsid w:val="035E1169"/>
    <w:rsid w:val="03764429"/>
    <w:rsid w:val="045E30EF"/>
    <w:rsid w:val="04D7637A"/>
    <w:rsid w:val="04FE2B07"/>
    <w:rsid w:val="066258AC"/>
    <w:rsid w:val="06D65696"/>
    <w:rsid w:val="06E51485"/>
    <w:rsid w:val="07096018"/>
    <w:rsid w:val="074C710D"/>
    <w:rsid w:val="0790111E"/>
    <w:rsid w:val="08542879"/>
    <w:rsid w:val="08621F5C"/>
    <w:rsid w:val="086A61FC"/>
    <w:rsid w:val="09182954"/>
    <w:rsid w:val="095801F1"/>
    <w:rsid w:val="0A570B1C"/>
    <w:rsid w:val="0A8C536C"/>
    <w:rsid w:val="0B6E5ACA"/>
    <w:rsid w:val="0C1C38AF"/>
    <w:rsid w:val="0CCE37FD"/>
    <w:rsid w:val="0D47492A"/>
    <w:rsid w:val="0DB147B9"/>
    <w:rsid w:val="0DB735B0"/>
    <w:rsid w:val="0DEE4B6C"/>
    <w:rsid w:val="0DEE5F0B"/>
    <w:rsid w:val="0EAE6091"/>
    <w:rsid w:val="0EC013C2"/>
    <w:rsid w:val="0F6018D0"/>
    <w:rsid w:val="0F637E43"/>
    <w:rsid w:val="10632464"/>
    <w:rsid w:val="107D334D"/>
    <w:rsid w:val="107F12D4"/>
    <w:rsid w:val="10C708EA"/>
    <w:rsid w:val="11354F58"/>
    <w:rsid w:val="11381F93"/>
    <w:rsid w:val="1152764D"/>
    <w:rsid w:val="12087ED3"/>
    <w:rsid w:val="121D4F51"/>
    <w:rsid w:val="13266213"/>
    <w:rsid w:val="136120EB"/>
    <w:rsid w:val="136D00D2"/>
    <w:rsid w:val="13E719DF"/>
    <w:rsid w:val="13EA457B"/>
    <w:rsid w:val="1431517F"/>
    <w:rsid w:val="143B2AE0"/>
    <w:rsid w:val="145E3E25"/>
    <w:rsid w:val="14F23C01"/>
    <w:rsid w:val="15352249"/>
    <w:rsid w:val="156F13F7"/>
    <w:rsid w:val="15A74082"/>
    <w:rsid w:val="15C075F2"/>
    <w:rsid w:val="15E13201"/>
    <w:rsid w:val="16085405"/>
    <w:rsid w:val="167624BF"/>
    <w:rsid w:val="16D03AE4"/>
    <w:rsid w:val="18B51F22"/>
    <w:rsid w:val="18FD6174"/>
    <w:rsid w:val="19842C45"/>
    <w:rsid w:val="19DB5485"/>
    <w:rsid w:val="1A072B9E"/>
    <w:rsid w:val="1C395BA0"/>
    <w:rsid w:val="1C877893"/>
    <w:rsid w:val="1C9267E4"/>
    <w:rsid w:val="1D5B1C71"/>
    <w:rsid w:val="1DEE2AC4"/>
    <w:rsid w:val="1E2B3742"/>
    <w:rsid w:val="1E76359C"/>
    <w:rsid w:val="1E842618"/>
    <w:rsid w:val="1F870832"/>
    <w:rsid w:val="1F9C4729"/>
    <w:rsid w:val="1FC111D0"/>
    <w:rsid w:val="1FE122B6"/>
    <w:rsid w:val="20543F45"/>
    <w:rsid w:val="218A3CA0"/>
    <w:rsid w:val="2194497D"/>
    <w:rsid w:val="219756DE"/>
    <w:rsid w:val="220C1BA5"/>
    <w:rsid w:val="22533F4E"/>
    <w:rsid w:val="22977D67"/>
    <w:rsid w:val="237D4701"/>
    <w:rsid w:val="24993D37"/>
    <w:rsid w:val="24CF05B4"/>
    <w:rsid w:val="24F332B5"/>
    <w:rsid w:val="24FE31A7"/>
    <w:rsid w:val="25377BD8"/>
    <w:rsid w:val="258E3B04"/>
    <w:rsid w:val="25C0211E"/>
    <w:rsid w:val="26325A7C"/>
    <w:rsid w:val="27BD12E5"/>
    <w:rsid w:val="280B2C4C"/>
    <w:rsid w:val="28EC2585"/>
    <w:rsid w:val="294A2B43"/>
    <w:rsid w:val="29681F31"/>
    <w:rsid w:val="2AA9176C"/>
    <w:rsid w:val="2B1C7301"/>
    <w:rsid w:val="2B38017B"/>
    <w:rsid w:val="2CCC115F"/>
    <w:rsid w:val="2CD6570C"/>
    <w:rsid w:val="2D041D42"/>
    <w:rsid w:val="2D3F6D9A"/>
    <w:rsid w:val="2DF65320"/>
    <w:rsid w:val="2E7D5177"/>
    <w:rsid w:val="2E903AA6"/>
    <w:rsid w:val="2EDF45E3"/>
    <w:rsid w:val="2F883FC7"/>
    <w:rsid w:val="2FF55AFF"/>
    <w:rsid w:val="30093FB3"/>
    <w:rsid w:val="300F0BC6"/>
    <w:rsid w:val="310B2AED"/>
    <w:rsid w:val="320764E2"/>
    <w:rsid w:val="333A36F0"/>
    <w:rsid w:val="34266BA7"/>
    <w:rsid w:val="34302CD8"/>
    <w:rsid w:val="344C29FD"/>
    <w:rsid w:val="349B45B0"/>
    <w:rsid w:val="356C48DA"/>
    <w:rsid w:val="35E37B82"/>
    <w:rsid w:val="35ED7BF5"/>
    <w:rsid w:val="365A0152"/>
    <w:rsid w:val="36D834CD"/>
    <w:rsid w:val="37011020"/>
    <w:rsid w:val="370D09AC"/>
    <w:rsid w:val="37282B8A"/>
    <w:rsid w:val="37F7041C"/>
    <w:rsid w:val="38095D54"/>
    <w:rsid w:val="38385637"/>
    <w:rsid w:val="388A0202"/>
    <w:rsid w:val="38BF65A8"/>
    <w:rsid w:val="39742ACA"/>
    <w:rsid w:val="39965258"/>
    <w:rsid w:val="39BE39ED"/>
    <w:rsid w:val="39C765A1"/>
    <w:rsid w:val="39CF36C6"/>
    <w:rsid w:val="3A1840A9"/>
    <w:rsid w:val="3A30361F"/>
    <w:rsid w:val="3A50075E"/>
    <w:rsid w:val="3A957409"/>
    <w:rsid w:val="3AA27A2E"/>
    <w:rsid w:val="3BAF0544"/>
    <w:rsid w:val="3BDC4BAF"/>
    <w:rsid w:val="3BED7C1B"/>
    <w:rsid w:val="3C4D4D5B"/>
    <w:rsid w:val="3C8140C0"/>
    <w:rsid w:val="3CA8271B"/>
    <w:rsid w:val="3D4F33AC"/>
    <w:rsid w:val="3DA228DF"/>
    <w:rsid w:val="3DA31A5F"/>
    <w:rsid w:val="3DA966D7"/>
    <w:rsid w:val="3EA12A5F"/>
    <w:rsid w:val="3ED812AE"/>
    <w:rsid w:val="3F13665E"/>
    <w:rsid w:val="3F76389E"/>
    <w:rsid w:val="3F944690"/>
    <w:rsid w:val="3FFE512D"/>
    <w:rsid w:val="41952ECA"/>
    <w:rsid w:val="41EE26CD"/>
    <w:rsid w:val="425219ED"/>
    <w:rsid w:val="425E09FB"/>
    <w:rsid w:val="428057DC"/>
    <w:rsid w:val="42D2364E"/>
    <w:rsid w:val="42FF0849"/>
    <w:rsid w:val="43407C49"/>
    <w:rsid w:val="438B28F3"/>
    <w:rsid w:val="43B8419D"/>
    <w:rsid w:val="443451BF"/>
    <w:rsid w:val="45107873"/>
    <w:rsid w:val="467846D9"/>
    <w:rsid w:val="46AC7056"/>
    <w:rsid w:val="46D263B0"/>
    <w:rsid w:val="46F90E11"/>
    <w:rsid w:val="475506CA"/>
    <w:rsid w:val="485B4BD5"/>
    <w:rsid w:val="49803C37"/>
    <w:rsid w:val="4A311B01"/>
    <w:rsid w:val="4AFC107E"/>
    <w:rsid w:val="4B69438E"/>
    <w:rsid w:val="4B8D0227"/>
    <w:rsid w:val="4BDB3C08"/>
    <w:rsid w:val="4C096A10"/>
    <w:rsid w:val="4C362D52"/>
    <w:rsid w:val="4C732937"/>
    <w:rsid w:val="4CC74D53"/>
    <w:rsid w:val="4CCC0E83"/>
    <w:rsid w:val="4D143679"/>
    <w:rsid w:val="4E5B1DBE"/>
    <w:rsid w:val="4E9B510D"/>
    <w:rsid w:val="4EED7B57"/>
    <w:rsid w:val="4FC8158F"/>
    <w:rsid w:val="4FDD7C2E"/>
    <w:rsid w:val="502A28FA"/>
    <w:rsid w:val="505E444F"/>
    <w:rsid w:val="5122146F"/>
    <w:rsid w:val="51AC5190"/>
    <w:rsid w:val="52247C68"/>
    <w:rsid w:val="52967B8C"/>
    <w:rsid w:val="52C91F13"/>
    <w:rsid w:val="535722D7"/>
    <w:rsid w:val="53E37088"/>
    <w:rsid w:val="5491738D"/>
    <w:rsid w:val="54963046"/>
    <w:rsid w:val="555D61F9"/>
    <w:rsid w:val="5568309D"/>
    <w:rsid w:val="556F27E3"/>
    <w:rsid w:val="55EC312F"/>
    <w:rsid w:val="567556C1"/>
    <w:rsid w:val="56E12262"/>
    <w:rsid w:val="57713704"/>
    <w:rsid w:val="577D2063"/>
    <w:rsid w:val="57E350CB"/>
    <w:rsid w:val="57E64DF2"/>
    <w:rsid w:val="582F16E8"/>
    <w:rsid w:val="5838574A"/>
    <w:rsid w:val="585F49DF"/>
    <w:rsid w:val="58652498"/>
    <w:rsid w:val="58E470D9"/>
    <w:rsid w:val="59470CBE"/>
    <w:rsid w:val="595F302C"/>
    <w:rsid w:val="59992974"/>
    <w:rsid w:val="59BF0CE4"/>
    <w:rsid w:val="5A221FC4"/>
    <w:rsid w:val="5A595BEC"/>
    <w:rsid w:val="5AD30019"/>
    <w:rsid w:val="5AF0175A"/>
    <w:rsid w:val="5B0E6BAA"/>
    <w:rsid w:val="5B4927F4"/>
    <w:rsid w:val="5BEA12ED"/>
    <w:rsid w:val="5C2D1FBE"/>
    <w:rsid w:val="5CAC3F25"/>
    <w:rsid w:val="5D8034A4"/>
    <w:rsid w:val="5E5A5C93"/>
    <w:rsid w:val="5E833B36"/>
    <w:rsid w:val="5ECB3EA4"/>
    <w:rsid w:val="5FDE30D6"/>
    <w:rsid w:val="600F568A"/>
    <w:rsid w:val="60E049A2"/>
    <w:rsid w:val="61125ECC"/>
    <w:rsid w:val="615C42C9"/>
    <w:rsid w:val="61D0008A"/>
    <w:rsid w:val="61E245A8"/>
    <w:rsid w:val="625F6518"/>
    <w:rsid w:val="631241EE"/>
    <w:rsid w:val="6348143C"/>
    <w:rsid w:val="636C432B"/>
    <w:rsid w:val="637613DC"/>
    <w:rsid w:val="63791C64"/>
    <w:rsid w:val="63B743ED"/>
    <w:rsid w:val="63BA7A56"/>
    <w:rsid w:val="64706289"/>
    <w:rsid w:val="64EF7A93"/>
    <w:rsid w:val="657B0B54"/>
    <w:rsid w:val="65905CE5"/>
    <w:rsid w:val="65A52E1D"/>
    <w:rsid w:val="66806F95"/>
    <w:rsid w:val="66E206CB"/>
    <w:rsid w:val="67B1385D"/>
    <w:rsid w:val="67FF168D"/>
    <w:rsid w:val="688A3FFC"/>
    <w:rsid w:val="68C668C3"/>
    <w:rsid w:val="696C7783"/>
    <w:rsid w:val="696F6517"/>
    <w:rsid w:val="69D71219"/>
    <w:rsid w:val="69DB7827"/>
    <w:rsid w:val="6A0177DC"/>
    <w:rsid w:val="6A9D6200"/>
    <w:rsid w:val="6B546B64"/>
    <w:rsid w:val="6B913F02"/>
    <w:rsid w:val="6BE714E8"/>
    <w:rsid w:val="6C137291"/>
    <w:rsid w:val="6CD67AA3"/>
    <w:rsid w:val="6D250158"/>
    <w:rsid w:val="6D696E3E"/>
    <w:rsid w:val="6D6B6468"/>
    <w:rsid w:val="6F022BD1"/>
    <w:rsid w:val="6F7E5FBA"/>
    <w:rsid w:val="701637E1"/>
    <w:rsid w:val="704362E4"/>
    <w:rsid w:val="70F86BE1"/>
    <w:rsid w:val="71021D72"/>
    <w:rsid w:val="71086A79"/>
    <w:rsid w:val="7126072F"/>
    <w:rsid w:val="71691B71"/>
    <w:rsid w:val="7193363A"/>
    <w:rsid w:val="71DE36E0"/>
    <w:rsid w:val="71E73C64"/>
    <w:rsid w:val="71EA4B97"/>
    <w:rsid w:val="727B333D"/>
    <w:rsid w:val="72E1376D"/>
    <w:rsid w:val="72E77D8E"/>
    <w:rsid w:val="73BD4E0F"/>
    <w:rsid w:val="7406324B"/>
    <w:rsid w:val="747F4953"/>
    <w:rsid w:val="748A608B"/>
    <w:rsid w:val="74EA4066"/>
    <w:rsid w:val="74F753B9"/>
    <w:rsid w:val="750825E1"/>
    <w:rsid w:val="7512183E"/>
    <w:rsid w:val="75E967C4"/>
    <w:rsid w:val="75FB669B"/>
    <w:rsid w:val="7726015B"/>
    <w:rsid w:val="77696FA9"/>
    <w:rsid w:val="77B615D1"/>
    <w:rsid w:val="77BD3F47"/>
    <w:rsid w:val="77CF5E42"/>
    <w:rsid w:val="79EE67FE"/>
    <w:rsid w:val="7AA65700"/>
    <w:rsid w:val="7BE86B60"/>
    <w:rsid w:val="7C5A1586"/>
    <w:rsid w:val="7C5E2B8C"/>
    <w:rsid w:val="7D7A1D3D"/>
    <w:rsid w:val="7D91013D"/>
    <w:rsid w:val="7D9C2F01"/>
    <w:rsid w:val="7E0E6D8C"/>
    <w:rsid w:val="7E181E10"/>
    <w:rsid w:val="7E266674"/>
    <w:rsid w:val="7E940599"/>
    <w:rsid w:val="7EBF7F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emf"/><Relationship Id="rId56" Type="http://schemas.openxmlformats.org/officeDocument/2006/relationships/oleObject" Target="embeddings/oleObject2.bin"/><Relationship Id="rId55" Type="http://schemas.openxmlformats.org/officeDocument/2006/relationships/image" Target="media/image51.emf"/><Relationship Id="rId54" Type="http://schemas.openxmlformats.org/officeDocument/2006/relationships/oleObject" Target="embeddings/oleObject1.bin"/><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2.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2018-05-21T02:53:09Z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